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40" w:lineRule="atLeast"/>
        <w:jc w:val="center"/>
        <w:rPr>
          <w:rFonts w:hint="eastAsia" w:ascii="华文行楷" w:hAnsi="华文行楷" w:eastAsia="华文行楷" w:cs="华文行楷"/>
          <w:b/>
          <w:color w:val="auto"/>
          <w:sz w:val="52"/>
          <w:szCs w:val="52"/>
          <w:lang w:val="en-US" w:eastAsia="zh-CN"/>
        </w:rPr>
      </w:pPr>
      <w:r>
        <w:rPr>
          <w:rFonts w:hint="eastAsia" w:ascii="华文行楷" w:hAnsi="华文行楷" w:eastAsia="华文行楷" w:cs="华文行楷"/>
          <w:b/>
          <w:color w:val="auto"/>
          <w:sz w:val="52"/>
          <w:szCs w:val="52"/>
          <w:lang w:val="en-US" w:eastAsia="zh-CN"/>
        </w:rPr>
        <w:t>四川省阿坝州金川县民政局</w:t>
      </w:r>
    </w:p>
    <w:p>
      <w:pPr>
        <w:spacing w:line="940" w:lineRule="atLeast"/>
        <w:jc w:val="center"/>
        <w:rPr>
          <w:rFonts w:hint="eastAsia" w:ascii="华文行楷" w:hAnsi="华文行楷" w:eastAsia="华文行楷" w:cs="华文行楷"/>
          <w:b/>
          <w:color w:val="auto"/>
          <w:sz w:val="52"/>
          <w:szCs w:val="52"/>
        </w:rPr>
      </w:pPr>
      <w:r>
        <w:rPr>
          <w:rFonts w:hint="eastAsia" w:ascii="华文行楷" w:hAnsi="华文行楷" w:eastAsia="华文行楷" w:cs="华文行楷"/>
          <w:b/>
          <w:color w:val="auto"/>
          <w:sz w:val="52"/>
          <w:szCs w:val="52"/>
          <w:lang w:val="en-US" w:eastAsia="zh-CN"/>
        </w:rPr>
        <w:t>2017年</w:t>
      </w:r>
      <w:r>
        <w:rPr>
          <w:rFonts w:hint="eastAsia" w:ascii="华文行楷" w:hAnsi="华文行楷" w:eastAsia="华文行楷" w:cs="华文行楷"/>
          <w:b/>
          <w:color w:val="auto"/>
          <w:sz w:val="52"/>
          <w:szCs w:val="52"/>
        </w:rPr>
        <w:t>社会养老服务体系建设</w:t>
      </w:r>
      <w:r>
        <w:rPr>
          <w:rFonts w:hint="eastAsia" w:ascii="华文行楷" w:hAnsi="华文行楷" w:eastAsia="华文行楷" w:cs="华文行楷"/>
          <w:b/>
          <w:color w:val="auto"/>
          <w:sz w:val="52"/>
          <w:szCs w:val="52"/>
          <w:lang w:val="en-US" w:eastAsia="zh-CN"/>
        </w:rPr>
        <w:t>资金绩效评价</w:t>
      </w:r>
      <w:r>
        <w:rPr>
          <w:rFonts w:hint="eastAsia" w:ascii="华文行楷" w:hAnsi="华文行楷" w:eastAsia="华文行楷" w:cs="华文行楷"/>
          <w:b/>
          <w:color w:val="auto"/>
          <w:sz w:val="52"/>
          <w:szCs w:val="52"/>
        </w:rPr>
        <w:t>报告书</w:t>
      </w: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r>
        <w:rPr>
          <w:rFonts w:ascii="隶书" w:hAnsi="Courier New" w:eastAsia="隶书"/>
          <w:color w:val="auto"/>
          <w:spacing w:val="20"/>
          <w:sz w:val="36"/>
          <w:szCs w:val="36"/>
        </w:rPr>
        <w:drawing>
          <wp:inline distT="0" distB="0" distL="114300" distR="114300">
            <wp:extent cx="3466465" cy="1506220"/>
            <wp:effectExtent l="0" t="0" r="635" b="17780"/>
            <wp:docPr id="1" name="图片 1" descr="中兴华会计师事务所所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兴华会计师事务所所标1"/>
                    <pic:cNvPicPr>
                      <a:picLocks noChangeAspect="1"/>
                    </pic:cNvPicPr>
                  </pic:nvPicPr>
                  <pic:blipFill>
                    <a:blip r:embed="rId5"/>
                    <a:stretch>
                      <a:fillRect/>
                    </a:stretch>
                  </pic:blipFill>
                  <pic:spPr>
                    <a:xfrm>
                      <a:off x="0" y="0"/>
                      <a:ext cx="3466465" cy="1506220"/>
                    </a:xfrm>
                    <a:prstGeom prst="rect">
                      <a:avLst/>
                    </a:prstGeom>
                    <a:noFill/>
                    <a:ln w="9525">
                      <a:noFill/>
                    </a:ln>
                  </pic:spPr>
                </pic:pic>
              </a:graphicData>
            </a:graphic>
          </wp:inline>
        </w:drawing>
      </w:r>
    </w:p>
    <w:p>
      <w:pPr>
        <w:spacing w:line="800" w:lineRule="atLeast"/>
        <w:jc w:val="center"/>
        <w:rPr>
          <w:rFonts w:hint="eastAsia" w:ascii="Arial" w:hAnsi="Arial" w:eastAsia="华文新魏" w:cs="Arial"/>
          <w:color w:val="auto"/>
          <w:sz w:val="48"/>
        </w:rPr>
      </w:pPr>
    </w:p>
    <w:p>
      <w:pPr>
        <w:spacing w:line="800" w:lineRule="atLeast"/>
        <w:jc w:val="both"/>
        <w:rPr>
          <w:rFonts w:hint="eastAsia" w:ascii="Arial" w:hAnsi="Arial" w:eastAsia="华文新魏" w:cs="Arial"/>
          <w:color w:val="auto"/>
          <w:sz w:val="48"/>
        </w:rPr>
      </w:pPr>
    </w:p>
    <w:p>
      <w:pPr>
        <w:rPr>
          <w:rFonts w:hint="eastAsia"/>
          <w:color w:val="auto"/>
        </w:rPr>
      </w:pPr>
    </w:p>
    <w:p>
      <w:pPr>
        <w:jc w:val="center"/>
        <w:rPr>
          <w:rFonts w:hint="eastAsia" w:eastAsia="华文行楷"/>
          <w:b/>
          <w:bCs/>
          <w:color w:val="auto"/>
          <w:sz w:val="44"/>
        </w:rPr>
      </w:pPr>
      <w:r>
        <w:rPr>
          <w:rFonts w:hint="eastAsia" w:eastAsia="华文行楷"/>
          <w:b/>
          <w:bCs/>
          <w:color w:val="auto"/>
          <w:sz w:val="44"/>
        </w:rPr>
        <w:t>中兴华会计师事务所(特殊普通合伙)</w:t>
      </w:r>
    </w:p>
    <w:p>
      <w:pPr>
        <w:jc w:val="center"/>
        <w:rPr>
          <w:rFonts w:hint="eastAsia"/>
          <w:color w:val="auto"/>
          <w:sz w:val="28"/>
        </w:rPr>
      </w:pPr>
      <w:r>
        <w:rPr>
          <w:rFonts w:hint="eastAsia"/>
          <w:color w:val="auto"/>
          <w:sz w:val="28"/>
        </w:rPr>
        <w:t>ZHONGXINGHAU CERTIFIED PUBLIC ACCOUNTANTS LLP</w:t>
      </w:r>
    </w:p>
    <w:p>
      <w:pPr>
        <w:spacing w:line="160" w:lineRule="exact"/>
        <w:rPr>
          <w:rFonts w:ascii="黑体" w:eastAsia="黑体"/>
          <w:color w:val="auto"/>
          <w:w w:val="90"/>
          <w:sz w:val="28"/>
        </w:rPr>
      </w:pPr>
    </w:p>
    <w:p>
      <w:pPr>
        <w:spacing w:line="600" w:lineRule="atLeast"/>
        <w:rPr>
          <w:rFonts w:hint="eastAsia" w:ascii="黑体" w:eastAsia="黑体"/>
          <w:color w:val="auto"/>
          <w:w w:val="90"/>
          <w:sz w:val="28"/>
        </w:rPr>
      </w:pPr>
      <w:r>
        <w:rPr>
          <w:rFonts w:hint="eastAsia" w:ascii="黑体" w:eastAsia="黑体"/>
          <w:color w:val="auto"/>
          <w:w w:val="90"/>
          <w:sz w:val="28"/>
        </w:rPr>
        <w:t>地址：</w:t>
      </w:r>
      <w:r>
        <w:rPr>
          <w:rFonts w:hint="eastAsia" w:ascii="黑体" w:eastAsia="黑体"/>
          <w:color w:val="auto"/>
          <w:w w:val="90"/>
          <w:sz w:val="28"/>
          <w:lang w:eastAsia="zh-CN"/>
        </w:rPr>
        <w:t>成都市金牛区蜀西路</w:t>
      </w:r>
      <w:r>
        <w:rPr>
          <w:rFonts w:hint="eastAsia" w:ascii="黑体" w:eastAsia="黑体"/>
          <w:color w:val="auto"/>
          <w:w w:val="90"/>
          <w:sz w:val="28"/>
          <w:lang w:val="en-US" w:eastAsia="zh-CN"/>
        </w:rPr>
        <w:t>49号盛大国际3幢4楼401</w:t>
      </w:r>
      <w:r>
        <w:rPr>
          <w:rFonts w:hint="eastAsia" w:ascii="黑体" w:eastAsia="黑体"/>
          <w:color w:val="auto"/>
          <w:w w:val="90"/>
          <w:sz w:val="28"/>
        </w:rPr>
        <w:t xml:space="preserve"> </w:t>
      </w:r>
      <w:r>
        <w:rPr>
          <w:rFonts w:ascii="黑体" w:eastAsia="黑体"/>
          <w:color w:val="auto"/>
          <w:w w:val="90"/>
          <w:sz w:val="24"/>
        </w:rPr>
        <w:t xml:space="preserve"> </w:t>
      </w:r>
      <w:r>
        <w:rPr>
          <w:rFonts w:hint="eastAsia" w:ascii="黑体" w:eastAsia="黑体"/>
          <w:color w:val="auto"/>
          <w:w w:val="90"/>
          <w:sz w:val="24"/>
        </w:rPr>
        <w:t xml:space="preserve">    </w:t>
      </w:r>
      <w:r>
        <w:rPr>
          <w:rFonts w:ascii="黑体" w:eastAsia="黑体"/>
          <w:color w:val="auto"/>
          <w:w w:val="90"/>
          <w:sz w:val="24"/>
        </w:rPr>
        <w:t xml:space="preserve"> </w:t>
      </w:r>
      <w:r>
        <w:rPr>
          <w:rFonts w:ascii="黑体" w:eastAsia="黑体"/>
          <w:color w:val="auto"/>
          <w:w w:val="90"/>
          <w:sz w:val="28"/>
        </w:rPr>
        <w:t xml:space="preserve"> </w:t>
      </w:r>
      <w:r>
        <w:rPr>
          <w:rFonts w:hint="eastAsia" w:ascii="黑体" w:eastAsia="黑体"/>
          <w:color w:val="auto"/>
          <w:w w:val="90"/>
          <w:sz w:val="28"/>
        </w:rPr>
        <w:t>邮编：</w:t>
      </w:r>
      <w:r>
        <w:rPr>
          <w:rFonts w:hint="eastAsia" w:ascii="黑体" w:eastAsia="黑体"/>
          <w:color w:val="auto"/>
          <w:w w:val="90"/>
          <w:sz w:val="28"/>
          <w:lang w:val="en-US" w:eastAsia="zh-CN"/>
        </w:rPr>
        <w:t>610037</w:t>
      </w:r>
    </w:p>
    <w:p>
      <w:pPr>
        <w:snapToGrid/>
        <w:spacing w:line="600" w:lineRule="atLeast"/>
        <w:jc w:val="both"/>
        <w:rPr>
          <w:rFonts w:hint="eastAsia" w:ascii="宋体" w:hAnsi="宋体" w:eastAsia="宋体"/>
          <w:b/>
          <w:color w:val="auto"/>
          <w:sz w:val="28"/>
          <w:szCs w:val="30"/>
        </w:rPr>
      </w:pPr>
      <w:r>
        <w:rPr>
          <w:rFonts w:hint="eastAsia" w:ascii="黑体" w:eastAsia="黑体"/>
          <w:color w:val="auto"/>
          <w:w w:val="90"/>
          <w:sz w:val="28"/>
        </w:rPr>
        <w:t>电话：</w:t>
      </w:r>
      <w:r>
        <w:rPr>
          <w:rFonts w:ascii="黑体" w:eastAsia="黑体"/>
          <w:color w:val="auto"/>
          <w:w w:val="90"/>
          <w:sz w:val="28"/>
        </w:rPr>
        <w:t>(</w:t>
      </w:r>
      <w:r>
        <w:rPr>
          <w:rFonts w:hint="eastAsia" w:ascii="黑体" w:eastAsia="黑体"/>
          <w:color w:val="auto"/>
          <w:w w:val="90"/>
          <w:sz w:val="28"/>
        </w:rPr>
        <w:t>0</w:t>
      </w:r>
      <w:r>
        <w:rPr>
          <w:rFonts w:hint="eastAsia" w:ascii="黑体" w:eastAsia="黑体"/>
          <w:color w:val="auto"/>
          <w:w w:val="90"/>
          <w:sz w:val="28"/>
          <w:lang w:val="en-US" w:eastAsia="zh-CN"/>
        </w:rPr>
        <w:t>28</w:t>
      </w:r>
      <w:r>
        <w:rPr>
          <w:rFonts w:ascii="黑体" w:eastAsia="黑体"/>
          <w:color w:val="auto"/>
          <w:w w:val="90"/>
          <w:sz w:val="28"/>
        </w:rPr>
        <w:t>)</w:t>
      </w:r>
      <w:r>
        <w:rPr>
          <w:rFonts w:hint="eastAsia" w:ascii="黑体" w:eastAsia="黑体"/>
          <w:color w:val="auto"/>
          <w:w w:val="90"/>
          <w:sz w:val="28"/>
        </w:rPr>
        <w:t>87779320</w:t>
      </w:r>
      <w:r>
        <w:rPr>
          <w:rFonts w:hint="eastAsia" w:ascii="黑体" w:eastAsia="黑体"/>
          <w:color w:val="auto"/>
          <w:w w:val="90"/>
          <w:sz w:val="28"/>
          <w:lang w:val="en-US" w:eastAsia="zh-CN"/>
        </w:rPr>
        <w:t>\18190919202</w:t>
      </w:r>
      <w:r>
        <w:rPr>
          <w:rFonts w:ascii="黑体" w:eastAsia="黑体"/>
          <w:color w:val="auto"/>
          <w:w w:val="90"/>
          <w:sz w:val="28"/>
        </w:rPr>
        <w:t xml:space="preserve">         </w:t>
      </w:r>
      <w:r>
        <w:rPr>
          <w:rFonts w:hint="eastAsia" w:ascii="黑体" w:eastAsia="黑体"/>
          <w:color w:val="auto"/>
          <w:w w:val="90"/>
          <w:sz w:val="28"/>
        </w:rPr>
        <w:t xml:space="preserve"> </w:t>
      </w:r>
      <w:r>
        <w:rPr>
          <w:rFonts w:ascii="黑体" w:eastAsia="黑体"/>
          <w:color w:val="auto"/>
          <w:w w:val="90"/>
          <w:sz w:val="28"/>
        </w:rPr>
        <w:t xml:space="preserve">   </w:t>
      </w:r>
      <w:r>
        <w:rPr>
          <w:rFonts w:hint="eastAsia" w:ascii="黑体" w:eastAsia="黑体"/>
          <w:color w:val="auto"/>
          <w:w w:val="90"/>
          <w:sz w:val="28"/>
        </w:rPr>
        <w:t xml:space="preserve">   传真：</w:t>
      </w:r>
      <w:r>
        <w:rPr>
          <w:rFonts w:ascii="黑体" w:eastAsia="黑体"/>
          <w:color w:val="auto"/>
          <w:w w:val="90"/>
          <w:sz w:val="28"/>
        </w:rPr>
        <w:t>(</w:t>
      </w:r>
      <w:r>
        <w:rPr>
          <w:rFonts w:hint="eastAsia" w:ascii="黑体" w:eastAsia="黑体"/>
          <w:color w:val="auto"/>
          <w:w w:val="90"/>
          <w:sz w:val="28"/>
        </w:rPr>
        <w:t>0</w:t>
      </w:r>
      <w:r>
        <w:rPr>
          <w:rFonts w:hint="eastAsia" w:ascii="黑体" w:eastAsia="黑体"/>
          <w:color w:val="auto"/>
          <w:w w:val="90"/>
          <w:sz w:val="28"/>
          <w:lang w:val="en-US" w:eastAsia="zh-CN"/>
        </w:rPr>
        <w:t>28</w:t>
      </w:r>
      <w:r>
        <w:rPr>
          <w:rFonts w:ascii="黑体" w:eastAsia="黑体"/>
          <w:color w:val="auto"/>
          <w:w w:val="90"/>
          <w:sz w:val="28"/>
        </w:rPr>
        <w:t>)</w:t>
      </w:r>
      <w:r>
        <w:rPr>
          <w:rFonts w:hint="eastAsia" w:ascii="黑体" w:eastAsia="黑体"/>
          <w:color w:val="auto"/>
          <w:w w:val="90"/>
          <w:sz w:val="28"/>
        </w:rPr>
        <w:t>87776280</w:t>
      </w:r>
    </w:p>
    <w:p>
      <w:pPr>
        <w:snapToGrid w:val="0"/>
        <w:spacing w:line="400" w:lineRule="exact"/>
        <w:jc w:val="both"/>
        <w:rPr>
          <w:rFonts w:hint="eastAsia" w:ascii="宋体" w:hAnsi="宋体" w:eastAsia="宋体"/>
          <w:b/>
          <w:color w:val="auto"/>
          <w:sz w:val="36"/>
          <w:szCs w:val="36"/>
          <w:lang w:val="en-US" w:eastAsia="zh-CN"/>
        </w:rPr>
      </w:pPr>
    </w:p>
    <w:p>
      <w:pPr>
        <w:snapToGrid w:val="0"/>
        <w:spacing w:line="400" w:lineRule="exact"/>
        <w:jc w:val="center"/>
        <w:rPr>
          <w:rFonts w:hint="eastAsia" w:ascii="宋体" w:hAnsi="宋体" w:eastAsia="宋体"/>
          <w:b/>
          <w:color w:val="auto"/>
          <w:sz w:val="36"/>
          <w:szCs w:val="36"/>
          <w:lang w:val="en-US" w:eastAsia="zh-CN"/>
        </w:rPr>
      </w:pPr>
    </w:p>
    <w:p>
      <w:pPr>
        <w:snapToGrid w:val="0"/>
        <w:spacing w:line="400" w:lineRule="exact"/>
        <w:jc w:val="center"/>
        <w:rPr>
          <w:rFonts w:hint="eastAsia" w:ascii="宋体" w:hAnsi="宋体" w:eastAsia="宋体"/>
          <w:b/>
          <w:sz w:val="36"/>
          <w:szCs w:val="36"/>
          <w:lang w:val="en-US" w:eastAsia="zh-CN"/>
        </w:rPr>
      </w:pPr>
      <w:r>
        <w:rPr>
          <w:rFonts w:hint="eastAsia" w:ascii="宋体" w:hAnsi="宋体" w:eastAsia="宋体"/>
          <w:b/>
          <w:sz w:val="36"/>
          <w:szCs w:val="36"/>
          <w:lang w:val="en-US" w:eastAsia="zh-CN"/>
        </w:rPr>
        <w:t>金川县民政局</w:t>
      </w:r>
    </w:p>
    <w:p>
      <w:pPr>
        <w:snapToGrid w:val="0"/>
        <w:spacing w:line="400" w:lineRule="exact"/>
        <w:jc w:val="center"/>
        <w:rPr>
          <w:rFonts w:hint="eastAsia" w:ascii="宋体" w:hAnsi="宋体" w:eastAsia="宋体"/>
          <w:b/>
          <w:sz w:val="36"/>
          <w:szCs w:val="36"/>
          <w:lang w:val="en-US" w:eastAsia="zh-CN"/>
        </w:rPr>
      </w:pPr>
      <w:r>
        <w:rPr>
          <w:rFonts w:hint="eastAsia" w:ascii="宋体" w:hAnsi="宋体" w:eastAsia="宋体"/>
          <w:b/>
          <w:sz w:val="36"/>
          <w:szCs w:val="36"/>
          <w:lang w:val="en-US" w:eastAsia="zh-CN"/>
        </w:rPr>
        <w:t>2017年社会养老服务体系资金绩效评价报告</w:t>
      </w:r>
    </w:p>
    <w:p>
      <w:pPr>
        <w:spacing w:line="578" w:lineRule="exact"/>
        <w:jc w:val="both"/>
        <w:rPr>
          <w:rFonts w:hint="eastAsia" w:ascii="宋体" w:hAnsi="宋体" w:eastAsia="仿宋_GB2312"/>
          <w:b/>
          <w:bCs/>
          <w:color w:val="auto"/>
          <w:sz w:val="24"/>
          <w:szCs w:val="24"/>
          <w:lang w:val="en-US" w:eastAsia="zh-CN"/>
        </w:rPr>
      </w:pPr>
      <w:r>
        <w:rPr>
          <w:rFonts w:hint="eastAsia" w:ascii="宋体" w:hAnsi="宋体"/>
          <w:b/>
          <w:bCs/>
          <w:color w:val="auto"/>
          <w:sz w:val="24"/>
          <w:szCs w:val="24"/>
          <w:lang w:val="en-US" w:eastAsia="zh-CN"/>
        </w:rPr>
        <w:t>金川县财政局：</w:t>
      </w:r>
    </w:p>
    <w:p>
      <w:pPr>
        <w:keepNext w:val="0"/>
        <w:keepLines w:val="0"/>
        <w:pageBreakBefore w:val="0"/>
        <w:widowControl w:val="0"/>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rPr>
      </w:pPr>
      <w:r>
        <w:rPr>
          <w:rFonts w:hint="eastAsia" w:ascii="宋体" w:hAnsi="宋体"/>
          <w:sz w:val="24"/>
          <w:szCs w:val="24"/>
        </w:rPr>
        <w:t>我们接受委托，对</w:t>
      </w:r>
      <w:r>
        <w:rPr>
          <w:rFonts w:hint="eastAsia" w:ascii="宋体" w:hAnsi="宋体"/>
          <w:sz w:val="24"/>
          <w:szCs w:val="24"/>
          <w:lang w:val="en-US" w:eastAsia="zh-CN"/>
        </w:rPr>
        <w:t>金川县民政局“</w:t>
      </w:r>
      <w:r>
        <w:rPr>
          <w:rFonts w:hint="eastAsia" w:ascii="宋体" w:hAnsi="宋体"/>
          <w:sz w:val="24"/>
          <w:szCs w:val="24"/>
        </w:rPr>
        <w:t>关于</w:t>
      </w:r>
      <w:r>
        <w:rPr>
          <w:rFonts w:hint="eastAsia" w:ascii="宋体" w:hAnsi="宋体"/>
          <w:sz w:val="24"/>
          <w:szCs w:val="24"/>
          <w:lang w:eastAsia="zh-CN"/>
        </w:rPr>
        <w:t>2017年社会养老服务体系资金</w:t>
      </w:r>
      <w:r>
        <w:rPr>
          <w:rFonts w:hint="eastAsia" w:ascii="宋体" w:hAnsi="宋体"/>
          <w:sz w:val="24"/>
          <w:szCs w:val="24"/>
          <w:lang w:val="en-US" w:eastAsia="zh-CN"/>
        </w:rPr>
        <w:t>”</w:t>
      </w:r>
      <w:r>
        <w:rPr>
          <w:rFonts w:hint="eastAsia" w:ascii="宋体" w:hAnsi="宋体"/>
          <w:sz w:val="24"/>
          <w:szCs w:val="24"/>
        </w:rPr>
        <w:t>(以下简称“该项目</w:t>
      </w:r>
      <w:r>
        <w:rPr>
          <w:rFonts w:hint="eastAsia" w:ascii="宋体" w:hAnsi="宋体"/>
          <w:color w:val="auto"/>
          <w:sz w:val="24"/>
          <w:szCs w:val="24"/>
          <w:lang w:val="en-US" w:eastAsia="zh-CN"/>
        </w:rPr>
        <w:t>或项目</w:t>
      </w:r>
      <w:r>
        <w:rPr>
          <w:rFonts w:hint="eastAsia" w:ascii="宋体" w:hAnsi="宋体"/>
          <w:sz w:val="24"/>
          <w:szCs w:val="24"/>
        </w:rPr>
        <w:t>”)</w:t>
      </w:r>
      <w:r>
        <w:rPr>
          <w:rFonts w:hint="eastAsia" w:ascii="宋体" w:hAnsi="宋体"/>
          <w:sz w:val="24"/>
          <w:szCs w:val="24"/>
          <w:lang w:val="en-US" w:eastAsia="zh-CN"/>
        </w:rPr>
        <w:t>进行了绩效评价。</w:t>
      </w:r>
      <w:r>
        <w:rPr>
          <w:rFonts w:hint="eastAsia" w:ascii="宋体" w:hAnsi="宋体"/>
          <w:sz w:val="24"/>
          <w:szCs w:val="24"/>
        </w:rPr>
        <w:t>提供该项目有关的真实、合法、完整</w:t>
      </w:r>
      <w:r>
        <w:rPr>
          <w:rFonts w:hint="eastAsia" w:ascii="宋体" w:hAnsi="宋体"/>
          <w:sz w:val="24"/>
          <w:szCs w:val="24"/>
          <w:lang w:val="zh-CN"/>
        </w:rPr>
        <w:t>的专项</w:t>
      </w:r>
      <w:r>
        <w:rPr>
          <w:rFonts w:hint="eastAsia" w:ascii="宋体" w:hAnsi="宋体"/>
          <w:sz w:val="24"/>
          <w:szCs w:val="24"/>
        </w:rPr>
        <w:t>资金</w:t>
      </w:r>
      <w:r>
        <w:rPr>
          <w:rFonts w:hint="eastAsia" w:ascii="宋体" w:hAnsi="宋体"/>
          <w:sz w:val="24"/>
          <w:szCs w:val="24"/>
          <w:lang w:val="zh-CN"/>
        </w:rPr>
        <w:t>收支的财务资料以及相关的文件</w:t>
      </w:r>
      <w:r>
        <w:rPr>
          <w:rFonts w:hint="eastAsia" w:ascii="宋体" w:hAnsi="宋体"/>
          <w:sz w:val="24"/>
          <w:szCs w:val="24"/>
        </w:rPr>
        <w:t>是</w:t>
      </w:r>
      <w:r>
        <w:rPr>
          <w:rFonts w:hint="eastAsia" w:ascii="宋体" w:hAnsi="宋体"/>
          <w:sz w:val="24"/>
          <w:szCs w:val="24"/>
          <w:lang w:val="en-US" w:eastAsia="zh-CN"/>
        </w:rPr>
        <w:t>金川县民政局的</w:t>
      </w:r>
      <w:r>
        <w:rPr>
          <w:rFonts w:hint="eastAsia" w:ascii="宋体" w:hAnsi="宋体"/>
          <w:sz w:val="24"/>
          <w:szCs w:val="24"/>
        </w:rPr>
        <w:t>的责任，我们的责任是本着独立、客观、公正的原则，在实施必要评价程序的基础上发表评价意见。我们的评价是依据财政部《财政支出绩效评价管理暂行办法》(财预〔2011〕285号）</w:t>
      </w:r>
      <w:r>
        <w:rPr>
          <w:rFonts w:hint="eastAsia" w:ascii="宋体" w:hAnsi="宋体"/>
          <w:sz w:val="24"/>
          <w:szCs w:val="24"/>
          <w:lang w:val="en-US" w:eastAsia="zh-CN"/>
        </w:rPr>
        <w:t>、四川省财政厅《关于四川省财政支出绩效评价操作规程（试行）》（川财绩</w:t>
      </w:r>
      <w:r>
        <w:rPr>
          <w:rFonts w:hint="eastAsia" w:ascii="宋体" w:hAnsi="宋体"/>
          <w:sz w:val="24"/>
          <w:szCs w:val="24"/>
        </w:rPr>
        <w:t>〔201</w:t>
      </w:r>
      <w:r>
        <w:rPr>
          <w:rFonts w:hint="eastAsia" w:ascii="宋体" w:hAnsi="宋体"/>
          <w:sz w:val="24"/>
          <w:szCs w:val="24"/>
          <w:lang w:val="en-US" w:eastAsia="zh-CN"/>
        </w:rPr>
        <w:t>8</w:t>
      </w:r>
      <w:r>
        <w:rPr>
          <w:rFonts w:hint="eastAsia" w:ascii="宋体" w:hAnsi="宋体"/>
          <w:sz w:val="24"/>
          <w:szCs w:val="24"/>
        </w:rPr>
        <w:t>〕</w:t>
      </w:r>
      <w:r>
        <w:rPr>
          <w:rFonts w:hint="eastAsia" w:ascii="宋体" w:hAnsi="宋体"/>
          <w:sz w:val="24"/>
          <w:szCs w:val="24"/>
          <w:lang w:val="en-US" w:eastAsia="zh-CN"/>
        </w:rPr>
        <w:t>2号）及</w:t>
      </w:r>
      <w:r>
        <w:rPr>
          <w:rFonts w:hint="eastAsia" w:ascii="宋体" w:hAnsi="宋体"/>
          <w:sz w:val="24"/>
          <w:szCs w:val="24"/>
          <w:highlight w:val="none"/>
          <w:lang w:val="en-US" w:eastAsia="zh-CN"/>
        </w:rPr>
        <w:t>《省级电子商务脱贫奔康示范项目资金管理办法》</w:t>
      </w:r>
      <w:r>
        <w:rPr>
          <w:rFonts w:hint="eastAsia" w:ascii="宋体" w:hAnsi="宋体"/>
          <w:sz w:val="24"/>
          <w:szCs w:val="24"/>
        </w:rPr>
        <w:t>进行的。</w:t>
      </w:r>
    </w:p>
    <w:p>
      <w:pPr>
        <w:keepNext w:val="0"/>
        <w:keepLines w:val="0"/>
        <w:pageBreakBefore w:val="0"/>
        <w:widowControl w:val="0"/>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rPr>
      </w:pPr>
      <w:r>
        <w:rPr>
          <w:rFonts w:hint="eastAsia" w:ascii="宋体" w:hAnsi="宋体"/>
          <w:sz w:val="24"/>
          <w:szCs w:val="24"/>
        </w:rPr>
        <w:t>在评价过程中，我们结合该项目的实际情况，实施了包括检查会计记录、</w:t>
      </w:r>
      <w:r>
        <w:rPr>
          <w:rFonts w:hint="eastAsia" w:ascii="宋体" w:hAnsi="宋体"/>
          <w:sz w:val="24"/>
          <w:szCs w:val="24"/>
          <w:lang w:val="en-US" w:eastAsia="zh-CN"/>
        </w:rPr>
        <w:t>实地查看、</w:t>
      </w:r>
      <w:r>
        <w:rPr>
          <w:rFonts w:hint="eastAsia" w:ascii="宋体" w:hAnsi="宋体"/>
          <w:sz w:val="24"/>
          <w:szCs w:val="24"/>
        </w:rPr>
        <w:t>核实和调阅上级文件等我们认为必要的评价程序。我们相信，我们的工作为发表评价意见提供了合理的基础。</w:t>
      </w:r>
    </w:p>
    <w:p>
      <w:pPr>
        <w:keepNext w:val="0"/>
        <w:keepLines w:val="0"/>
        <w:pageBreakBefore w:val="0"/>
        <w:widowControl w:val="0"/>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eastAsia="zh-CN"/>
        </w:rPr>
      </w:pPr>
      <w:r>
        <w:rPr>
          <w:rFonts w:hint="eastAsia" w:ascii="宋体" w:hAnsi="宋体"/>
          <w:sz w:val="24"/>
          <w:szCs w:val="24"/>
        </w:rPr>
        <w:t>我们的现场评价工作已于201</w:t>
      </w:r>
      <w:r>
        <w:rPr>
          <w:rFonts w:hint="eastAsia" w:ascii="宋体" w:hAnsi="宋体"/>
          <w:sz w:val="24"/>
          <w:szCs w:val="24"/>
          <w:lang w:val="en-US" w:eastAsia="zh-CN"/>
        </w:rPr>
        <w:t>8</w:t>
      </w:r>
      <w:r>
        <w:rPr>
          <w:rFonts w:hint="eastAsia" w:ascii="宋体" w:hAnsi="宋体"/>
          <w:sz w:val="24"/>
          <w:szCs w:val="24"/>
        </w:rPr>
        <w:t>年</w:t>
      </w:r>
      <w:r>
        <w:rPr>
          <w:rFonts w:hint="eastAsia" w:ascii="宋体" w:hAnsi="宋体"/>
          <w:sz w:val="24"/>
          <w:szCs w:val="24"/>
          <w:lang w:val="en-US" w:eastAsia="zh-CN"/>
        </w:rPr>
        <w:t>9</w:t>
      </w:r>
      <w:r>
        <w:rPr>
          <w:rFonts w:hint="eastAsia" w:ascii="宋体" w:hAnsi="宋体"/>
          <w:sz w:val="24"/>
          <w:szCs w:val="24"/>
        </w:rPr>
        <w:t>月</w:t>
      </w:r>
      <w:r>
        <w:rPr>
          <w:rFonts w:hint="eastAsia" w:ascii="宋体" w:hAnsi="宋体"/>
          <w:sz w:val="24"/>
          <w:szCs w:val="24"/>
          <w:lang w:val="en-US" w:eastAsia="zh-CN"/>
        </w:rPr>
        <w:t>15</w:t>
      </w:r>
      <w:r>
        <w:rPr>
          <w:rFonts w:hint="eastAsia" w:ascii="宋体" w:hAnsi="宋体"/>
          <w:sz w:val="24"/>
          <w:szCs w:val="24"/>
        </w:rPr>
        <w:t>日结束，现将评价情况报告如下</w:t>
      </w:r>
      <w:r>
        <w:rPr>
          <w:rFonts w:hint="eastAsia" w:ascii="宋体" w:hAnsi="宋体"/>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项目基本情况</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项目实施单位基本情况</w:t>
      </w:r>
    </w:p>
    <w:p>
      <w:pPr>
        <w:keepNext w:val="0"/>
        <w:keepLines w:val="0"/>
        <w:pageBreakBefore w:val="0"/>
        <w:widowControl w:val="0"/>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eastAsia="zh-CN"/>
        </w:rPr>
      </w:pPr>
      <w:r>
        <w:rPr>
          <w:rFonts w:hint="eastAsia" w:ascii="宋体" w:hAnsi="宋体"/>
          <w:sz w:val="24"/>
          <w:szCs w:val="24"/>
          <w:lang w:eastAsia="zh-CN"/>
        </w:rPr>
        <w:t>金川县民政局</w:t>
      </w:r>
      <w:r>
        <w:rPr>
          <w:rFonts w:hint="eastAsia" w:ascii="宋体" w:hAnsi="宋体"/>
          <w:sz w:val="24"/>
          <w:szCs w:val="24"/>
          <w:lang w:val="en-US" w:eastAsia="zh-CN"/>
        </w:rPr>
        <w:t>机关行政编制为9名。其中：科级领导职数3名（局长1名、副局长2名）；纪检组长1名，按县委规定配备。股级领导职数5名。机关工勤人员编制1名。下属单位事业编制10名，管理岗位3名。全局</w:t>
      </w:r>
      <w:r>
        <w:rPr>
          <w:rFonts w:hint="eastAsia" w:ascii="宋体" w:hAnsi="宋体"/>
          <w:sz w:val="24"/>
          <w:szCs w:val="24"/>
          <w:lang w:eastAsia="zh-CN"/>
        </w:rPr>
        <w:t>设</w:t>
      </w:r>
      <w:r>
        <w:rPr>
          <w:rFonts w:hint="eastAsia" w:ascii="宋体" w:hAnsi="宋体"/>
          <w:sz w:val="24"/>
          <w:szCs w:val="24"/>
          <w:lang w:val="en-US" w:eastAsia="zh-CN"/>
        </w:rPr>
        <w:t>内设办公室、救灾与社会救助股、社会福利与社会事务股、优抚安置双拥股、基层政权与区划地名股5个机构。另有下属社会救助福利服务中心、城乡低保中心。</w:t>
      </w:r>
      <w:r>
        <w:rPr>
          <w:rFonts w:hint="eastAsia" w:ascii="宋体" w:hAnsi="宋体"/>
          <w:sz w:val="24"/>
          <w:szCs w:val="24"/>
          <w:lang w:eastAsia="zh-CN"/>
        </w:rPr>
        <w:t>主要职责：贯彻执行党和国家有关民政工作的方针政策和法律法规，负责全县民政法制宣传、监督、调研等工作；指导、监督民政事业经费的使用和管理，负责民政统计和管理工作；拟定社会福利事业发展规划、政策和标准；牵头拟定全县救助规划等。</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highlight w:val="none"/>
          <w:lang w:val="en-US" w:eastAsia="zh-CN"/>
        </w:rPr>
      </w:pPr>
      <w:r>
        <w:rPr>
          <w:rFonts w:hint="eastAsia" w:ascii="宋体" w:hAnsi="宋体"/>
          <w:b w:val="0"/>
          <w:bCs w:val="0"/>
          <w:color w:val="auto"/>
          <w:sz w:val="24"/>
          <w:szCs w:val="24"/>
          <w:highlight w:val="none"/>
          <w:lang w:val="en-US" w:eastAsia="zh-CN"/>
        </w:rPr>
        <w:t>项目基本情况</w:t>
      </w:r>
    </w:p>
    <w:p>
      <w:pPr>
        <w:keepNext w:val="0"/>
        <w:keepLines w:val="0"/>
        <w:pageBreakBefore w:val="0"/>
        <w:widowControl w:val="0"/>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根据金川县财政局《关于下达2017年部门预算的的通知》（</w:t>
      </w:r>
      <w:r>
        <w:rPr>
          <w:rFonts w:hint="eastAsia" w:ascii="宋体" w:hAnsi="宋体"/>
          <w:sz w:val="24"/>
          <w:szCs w:val="24"/>
          <w:lang w:eastAsia="zh-CN"/>
        </w:rPr>
        <w:t>金</w:t>
      </w:r>
      <w:r>
        <w:rPr>
          <w:rFonts w:hint="eastAsia" w:ascii="宋体" w:hAnsi="宋体"/>
          <w:sz w:val="24"/>
          <w:szCs w:val="24"/>
          <w:lang w:val="en-US" w:eastAsia="zh-CN"/>
        </w:rPr>
        <w:t>财预</w:t>
      </w:r>
      <w:r>
        <w:rPr>
          <w:rFonts w:hint="eastAsia" w:ascii="宋体" w:hAnsi="宋体"/>
          <w:sz w:val="24"/>
          <w:szCs w:val="24"/>
          <w:lang w:eastAsia="zh-CN"/>
        </w:rPr>
        <w:t>[2017]</w:t>
      </w:r>
      <w:r>
        <w:rPr>
          <w:rFonts w:hint="eastAsia" w:ascii="宋体" w:hAnsi="宋体"/>
          <w:sz w:val="24"/>
          <w:szCs w:val="24"/>
          <w:lang w:val="en-US" w:eastAsia="zh-CN"/>
        </w:rPr>
        <w:t>1</w:t>
      </w:r>
      <w:r>
        <w:rPr>
          <w:rFonts w:hint="eastAsia" w:ascii="宋体" w:hAnsi="宋体"/>
          <w:sz w:val="24"/>
          <w:szCs w:val="24"/>
          <w:lang w:eastAsia="zh-CN"/>
        </w:rPr>
        <w:t>号），下达</w:t>
      </w:r>
      <w:r>
        <w:rPr>
          <w:rFonts w:hint="eastAsia" w:ascii="宋体" w:hAnsi="宋体"/>
          <w:sz w:val="24"/>
          <w:szCs w:val="24"/>
          <w:lang w:val="en-US" w:eastAsia="zh-CN"/>
        </w:rPr>
        <w:t>项目</w:t>
      </w:r>
      <w:r>
        <w:rPr>
          <w:rFonts w:hint="eastAsia" w:ascii="宋体" w:hAnsi="宋体"/>
          <w:sz w:val="24"/>
          <w:szCs w:val="24"/>
          <w:lang w:eastAsia="zh-CN"/>
        </w:rPr>
        <w:t>资金</w:t>
      </w:r>
      <w:r>
        <w:rPr>
          <w:rFonts w:hint="eastAsia" w:ascii="宋体" w:hAnsi="宋体"/>
          <w:sz w:val="24"/>
          <w:szCs w:val="24"/>
          <w:lang w:val="en-US" w:eastAsia="zh-CN"/>
        </w:rPr>
        <w:t>1,076,250.00</w:t>
      </w:r>
      <w:r>
        <w:rPr>
          <w:rFonts w:hint="eastAsia" w:ascii="宋体" w:hAnsi="宋体"/>
          <w:sz w:val="24"/>
          <w:szCs w:val="24"/>
          <w:lang w:eastAsia="zh-CN"/>
        </w:rPr>
        <w:t>元</w:t>
      </w:r>
      <w:r>
        <w:rPr>
          <w:rFonts w:hint="eastAsia" w:ascii="宋体" w:hAnsi="宋体"/>
          <w:sz w:val="24"/>
          <w:szCs w:val="24"/>
          <w:lang w:val="en-US" w:eastAsia="zh-CN"/>
        </w:rPr>
        <w:t>；金川县财政局《关于下达2017年养老服务业发展补助资金(第一批)的通知》（金财社[2017]21号）下达资金1,450,000.00元，其中新建日间照料中心840,000。00元，为2500名困难家庭是能老人，独居老人和80岁以上老人提供居家养老409,500.00元，维修床位改造195,000.00元；金川县财政局《关于下达2017年省级财政养老服务发展专项补助资金的通知》（金财社[2017]49号）下达资金14,000.00元。合计下达资金2,540,250.00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项目资金主要用于：</w:t>
      </w:r>
    </w:p>
    <w:p>
      <w:pPr>
        <w:keepNext w:val="0"/>
        <w:keepLines w:val="0"/>
        <w:pageBreakBefore w:val="0"/>
        <w:widowControl w:val="0"/>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新建勒乌镇新开村、咯尔乡五甲村、马尔邦八角塘村、二嘎里乡四甲壁村、卡撒乡山埂子村、卡拉脚乡玛目都村6个日间照料中心1,528,000.00元，其中：省级财政补助542,500.00元，州级财政补助303,000.00元，县级配套682,500.00元；为2500名困难家庭失能老人，独居老人和80岁以上老人提供居家养老服务750,750.00元，其中：省级财政补助262,500.00元，州级财政补助147,000.00元，县级配套341,250.00元；维修改造公办养老机构床位247,500.00元，其中:省级财政补助150,000.00元，州级财政补助45,000.00元，县级配套52,500.00元；日间照料中心消防设施设备改造14,000.00元。</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评价结论及绩效分析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（一）评价结论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yellow"/>
          <w:lang w:val="en-US" w:eastAsia="zh-CN"/>
        </w:rPr>
      </w:pPr>
      <w:r>
        <w:rPr>
          <w:rFonts w:hint="eastAsia" w:ascii="宋体" w:hAnsi="宋体"/>
          <w:color w:val="auto"/>
          <w:sz w:val="24"/>
          <w:szCs w:val="24"/>
          <w:lang w:val="en-US" w:eastAsia="zh-CN"/>
        </w:rPr>
        <w:t>项目的实施，满足了广大老年人日益增长的物质和精神文化需求，对提升老年人生活质量，构建政府主导、社区参与，以居家养老为基础、社会照料为依托、机构养老为补助，多层次、多类型的社会化养老服务体系有着深远的意义。有利于为老年人提供周到、便捷、高效、体贴的专业化服务，并不断促进养老服务业的健康发展。</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color w:val="auto"/>
          <w:sz w:val="24"/>
          <w:szCs w:val="24"/>
          <w:lang w:val="en-US" w:eastAsia="zh-CN"/>
        </w:rPr>
      </w:pPr>
      <w:r>
        <w:rPr>
          <w:rFonts w:hint="eastAsia" w:ascii="宋体" w:hAnsi="宋体"/>
          <w:sz w:val="24"/>
          <w:szCs w:val="24"/>
          <w:lang w:val="en-US" w:eastAsia="zh-CN"/>
        </w:rPr>
        <w:t>根据</w:t>
      </w:r>
      <w:r>
        <w:rPr>
          <w:rFonts w:hint="eastAsia" w:ascii="宋体" w:hAnsi="宋体"/>
          <w:sz w:val="24"/>
          <w:szCs w:val="24"/>
        </w:rPr>
        <w:t>2018年阿坝州项目支出绩效评价指标体系</w:t>
      </w:r>
      <w:r>
        <w:rPr>
          <w:rFonts w:hint="eastAsia" w:ascii="宋体" w:hAnsi="宋体"/>
          <w:sz w:val="24"/>
          <w:szCs w:val="24"/>
          <w:lang w:val="en-US" w:eastAsia="zh-CN"/>
        </w:rPr>
        <w:t>评分，该项目综合得分</w:t>
      </w:r>
      <w:r>
        <w:rPr>
          <w:rFonts w:hint="eastAsia" w:ascii="宋体" w:hAnsi="宋体"/>
          <w:color w:val="auto"/>
          <w:sz w:val="24"/>
          <w:szCs w:val="24"/>
          <w:highlight w:val="none"/>
          <w:lang w:val="en-US" w:eastAsia="zh-CN"/>
        </w:rPr>
        <w:t>87</w:t>
      </w:r>
      <w:r>
        <w:rPr>
          <w:rFonts w:hint="eastAsia" w:ascii="宋体" w:hAnsi="宋体"/>
          <w:sz w:val="24"/>
          <w:szCs w:val="24"/>
          <w:lang w:val="en-US" w:eastAsia="zh-CN"/>
        </w:rPr>
        <w:t>份。具体</w:t>
      </w:r>
      <w:r>
        <w:rPr>
          <w:rFonts w:hint="eastAsia" w:ascii="宋体" w:hAnsi="宋体"/>
          <w:color w:val="auto"/>
          <w:sz w:val="24"/>
          <w:szCs w:val="24"/>
          <w:lang w:val="en-US" w:eastAsia="zh-CN"/>
        </w:rPr>
        <w:t>评分情况详见附表一：</w:t>
      </w:r>
      <w:r>
        <w:rPr>
          <w:rFonts w:hint="eastAsia" w:ascii="宋体" w:hAnsi="宋体"/>
          <w:color w:val="auto"/>
          <w:sz w:val="24"/>
          <w:szCs w:val="24"/>
        </w:rPr>
        <w:t>2018年阿坝州项目支出绩效评价指标体系</w:t>
      </w:r>
      <w:r>
        <w:rPr>
          <w:rFonts w:hint="eastAsia" w:ascii="宋体" w:hAnsi="宋体"/>
          <w:color w:val="auto"/>
          <w:sz w:val="24"/>
          <w:szCs w:val="24"/>
          <w:lang w:val="en-US" w:eastAsia="zh-CN"/>
        </w:rPr>
        <w:t>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（二）绩效分析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1、项目决策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的必要性：随着我国人口老龄化进程加快，家庭养老功能日益弱化，老年人养老服务已经成为重大的社会问题。但目前我国居家养老服务供给不足，比重偏低，质量不高，不能满足老年人日益增长的服务需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的可行性：全面推进居家养老服务，是破解我国日趋尖锐的养老服务难题，切实提高广大老年人生命，生活质量的重要出路，是弘扬中华民族尊老敬老优良传统，尊重老年人情感和心理需求的人性化选择；是促进家庭和谐、社区和谐和代际和谐，推动社会主义和谐社会建设的重要举措；也是加快发展服务业，扩大就业渠道和促进经济增长的重要途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绩效目标设置情况：维修改造公办养老机构床位60个，新建6个日间照料中心，为2500名困难家庭失能老人，独居老人和80岁以上老人提供居家养老服务。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2、项目管理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项目资金到位情况：</w:t>
      </w:r>
      <w:r>
        <w:rPr>
          <w:rFonts w:hint="eastAsia" w:ascii="宋体" w:hAnsi="宋体"/>
          <w:sz w:val="24"/>
          <w:szCs w:val="24"/>
          <w:highlight w:val="none"/>
          <w:lang w:val="en-US" w:eastAsia="zh-CN"/>
        </w:rPr>
        <w:t>根据年初预算</w:t>
      </w:r>
      <w:r>
        <w:rPr>
          <w:rFonts w:hint="eastAsia" w:ascii="宋体" w:hAnsi="宋体"/>
          <w:color w:val="auto"/>
          <w:sz w:val="24"/>
          <w:szCs w:val="24"/>
          <w:lang w:val="en-US" w:eastAsia="zh-CN"/>
        </w:rPr>
        <w:t>下达2017年社会养老服务体系资金2,540,250元。资金到位率100%。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color w:val="auto"/>
          <w:sz w:val="24"/>
          <w:szCs w:val="24"/>
          <w:lang w:val="en-US" w:eastAsia="zh-CN"/>
        </w:rPr>
        <w:t>项目资金使用情况：维修改造公办养老机构床位用于金川县社会救助福利服务中心维修改造247,500.00元；为2500名困难家庭失能老人，独居老人和80岁以上老人提供居家养老服务（购买器材等750,000.00元；新建6个日间照料中心（实际用于勒乌镇马厂村、咯尔乡五甲村、勒乌镇老年协会、独松乡正里塘村、卡撒乡山埂子村、曾达乡倪家坪村、曾达乡木尔都村、曾达乡大沟村、勒乌镇新开村、沙尔乡克尔玛村等日间照料中心建设工程款及购买器材）1,542,750.00</w:t>
      </w:r>
      <w:bookmarkStart w:id="0" w:name="_GoBack"/>
      <w:bookmarkEnd w:id="0"/>
      <w:r>
        <w:rPr>
          <w:rFonts w:hint="eastAsia" w:ascii="宋体" w:hAnsi="宋体"/>
          <w:color w:val="auto"/>
          <w:sz w:val="24"/>
          <w:szCs w:val="24"/>
          <w:lang w:val="en-US" w:eastAsia="zh-CN"/>
        </w:rPr>
        <w:t>元，合计支出2,540,250.00元，资金使用率100%。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项目资金管理情况：项目资金未严格按照资金文件使用。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3、项目绩效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按照预定进度计划已完成目标任务，已通过验收，完成目标任务率为100%。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该项目取得效益：社会养老服务体系项目建设能满足广大老年人日益增长的物质和精神文化需求，提升老年人生活质量，构建政府主导、社区参与，以居家养老为基础、社会照料为依托、机构养老为补助，多层次、多类型的社会化养老服务体系，能未老年人提供周到、便捷、高效、体贴的专业化服务，不断促进该县养老服务业的健康发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仿宋_GB2312"/>
          <w:color w:val="auto"/>
          <w:sz w:val="24"/>
          <w:szCs w:val="24"/>
          <w:lang w:val="en-US" w:eastAsia="zh-CN"/>
        </w:rPr>
      </w:pPr>
      <w:r>
        <w:rPr>
          <w:rFonts w:hint="eastAsia" w:ascii="宋体" w:hAnsi="宋体"/>
          <w:color w:val="auto"/>
          <w:sz w:val="24"/>
          <w:szCs w:val="24"/>
          <w:highlight w:val="none"/>
          <w:lang w:val="en-US" w:eastAsia="zh-CN"/>
        </w:rPr>
        <w:t>我们选择抽取了</w:t>
      </w:r>
      <w:r>
        <w:rPr>
          <w:rFonts w:hint="eastAsia" w:ascii="宋体" w:hAnsi="宋体"/>
          <w:color w:val="auto"/>
          <w:sz w:val="24"/>
          <w:szCs w:val="24"/>
        </w:rPr>
        <w:t>沙耳克尔玛村、咯尔五甲、独松正里塘村、勒乌新开村</w:t>
      </w:r>
      <w:r>
        <w:rPr>
          <w:rFonts w:hint="eastAsia" w:ascii="宋体" w:hAnsi="宋体"/>
          <w:color w:val="auto"/>
          <w:sz w:val="24"/>
          <w:szCs w:val="24"/>
          <w:lang w:val="en-US" w:eastAsia="zh-CN"/>
        </w:rPr>
        <w:t>的日间照料中心</w:t>
      </w:r>
      <w:r>
        <w:rPr>
          <w:rFonts w:hint="eastAsia" w:ascii="宋体" w:hAnsi="宋体"/>
          <w:sz w:val="24"/>
          <w:szCs w:val="24"/>
          <w:highlight w:val="none"/>
          <w:lang w:val="en-US" w:eastAsia="zh-CN"/>
        </w:rPr>
        <w:t>进行了实地</w:t>
      </w:r>
      <w:r>
        <w:rPr>
          <w:rFonts w:hint="eastAsia" w:ascii="宋体" w:hAnsi="宋体"/>
          <w:color w:val="auto"/>
          <w:sz w:val="24"/>
          <w:szCs w:val="24"/>
          <w:highlight w:val="none"/>
          <w:lang w:val="en-US" w:eastAsia="zh-CN"/>
        </w:rPr>
        <w:t>调查</w:t>
      </w:r>
      <w:r>
        <w:rPr>
          <w:rFonts w:hint="eastAsia" w:ascii="宋体" w:hAnsi="宋体"/>
          <w:sz w:val="24"/>
          <w:szCs w:val="24"/>
          <w:highlight w:val="none"/>
          <w:lang w:val="en-US" w:eastAsia="zh-CN"/>
        </w:rPr>
        <w:t>；查看表明，项目均已实施。</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存在主要问题</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为2500名困难家庭失能老人，独居老人和80岁以上老人提供居家养老</w:t>
      </w:r>
      <w:r>
        <w:rPr>
          <w:rFonts w:hint="eastAsia" w:ascii="仿宋_GB2312" w:hAnsi="仿宋_GB2312" w:cs="仿宋_GB2312"/>
          <w:color w:val="000000"/>
          <w:sz w:val="24"/>
          <w:lang w:val="en-US" w:eastAsia="zh-CN"/>
        </w:rPr>
        <w:t>服务所</w:t>
      </w:r>
      <w:r>
        <w:rPr>
          <w:rFonts w:hint="eastAsia" w:ascii="仿宋_GB2312" w:hAnsi="仿宋_GB2312" w:eastAsia="仿宋_GB2312" w:cs="仿宋_GB2312"/>
          <w:color w:val="000000"/>
          <w:sz w:val="24"/>
          <w:lang w:val="en-US" w:eastAsia="zh-CN"/>
        </w:rPr>
        <w:t>购买</w:t>
      </w:r>
      <w:r>
        <w:rPr>
          <w:rFonts w:hint="eastAsia" w:ascii="仿宋_GB2312" w:hAnsi="仿宋_GB2312" w:cs="仿宋_GB2312"/>
          <w:color w:val="000000"/>
          <w:sz w:val="24"/>
          <w:lang w:val="en-US" w:eastAsia="zh-CN"/>
        </w:rPr>
        <w:t>的</w:t>
      </w:r>
      <w:r>
        <w:rPr>
          <w:rFonts w:hint="eastAsia" w:ascii="仿宋_GB2312" w:hAnsi="仿宋_GB2312" w:eastAsia="仿宋_GB2312" w:cs="仿宋_GB2312"/>
          <w:color w:val="000000"/>
          <w:sz w:val="24"/>
          <w:lang w:val="en-US" w:eastAsia="zh-CN"/>
        </w:rPr>
        <w:t>护膝、拐杖、电视机、电脑、相机等未发放</w:t>
      </w:r>
      <w:r>
        <w:rPr>
          <w:rFonts w:hint="eastAsia" w:ascii="仿宋_GB2312" w:hAnsi="仿宋_GB2312" w:cs="仿宋_GB2312"/>
          <w:color w:val="000000"/>
          <w:sz w:val="24"/>
          <w:lang w:val="en-US" w:eastAsia="zh-CN"/>
        </w:rPr>
        <w:t>，且</w:t>
      </w:r>
      <w:r>
        <w:rPr>
          <w:rFonts w:hint="eastAsia" w:ascii="仿宋_GB2312" w:hAnsi="仿宋_GB2312" w:eastAsia="仿宋_GB2312" w:cs="仿宋_GB2312"/>
          <w:color w:val="000000"/>
          <w:sz w:val="24"/>
          <w:lang w:val="en-US" w:eastAsia="zh-CN"/>
        </w:rPr>
        <w:t>部分未计入存货或低值易耗品；</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无日间照料中心、维修改造公办养老机构床位、居家养老服务具体实施方案；</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支付日间照料中心工程款不是严格按照年初分配任务支付，部分资金用于支付以前年度日间照料中心工程款（以前年度日间照料中心也于2017年实施）；</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维修改造公办养老机构床位</w:t>
      </w:r>
      <w:r>
        <w:rPr>
          <w:rFonts w:hint="eastAsia" w:ascii="仿宋_GB2312" w:hAnsi="仿宋_GB2312" w:cs="仿宋_GB2312"/>
          <w:color w:val="000000"/>
          <w:sz w:val="24"/>
          <w:lang w:val="en-US" w:eastAsia="zh-CN"/>
        </w:rPr>
        <w:t>247,500</w:t>
      </w:r>
      <w:r>
        <w:rPr>
          <w:rFonts w:hint="eastAsia" w:ascii="仿宋_GB2312" w:hAnsi="仿宋_GB2312" w:eastAsia="仿宋_GB2312" w:cs="仿宋_GB2312"/>
          <w:color w:val="000000"/>
          <w:sz w:val="24"/>
          <w:lang w:val="en-US" w:eastAsia="zh-CN"/>
        </w:rPr>
        <w:t>元用于</w:t>
      </w:r>
      <w:r>
        <w:rPr>
          <w:rFonts w:hint="eastAsia" w:ascii="仿宋_GB2312" w:hAnsi="仿宋_GB2312" w:eastAsia="仿宋_GB2312" w:cs="仿宋_GB2312"/>
          <w:color w:val="000000"/>
          <w:sz w:val="24"/>
        </w:rPr>
        <w:t>金川县社会救助福利服务中心维修改造</w:t>
      </w:r>
      <w:r>
        <w:rPr>
          <w:rFonts w:hint="eastAsia" w:ascii="仿宋_GB2312" w:hAnsi="仿宋_GB2312" w:eastAsia="仿宋_GB2312" w:cs="仿宋_GB2312"/>
          <w:color w:val="000000"/>
          <w:sz w:val="24"/>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日间照料中心消防设施设备改造</w:t>
      </w:r>
      <w:r>
        <w:rPr>
          <w:rFonts w:hint="eastAsia" w:ascii="仿宋_GB2312" w:hAnsi="仿宋_GB2312" w:cs="仿宋_GB2312"/>
          <w:color w:val="000000"/>
          <w:sz w:val="24"/>
          <w:lang w:val="en-US" w:eastAsia="zh-CN"/>
        </w:rPr>
        <w:t>14,000</w:t>
      </w:r>
      <w:r>
        <w:rPr>
          <w:rFonts w:hint="eastAsia" w:ascii="仿宋_GB2312" w:hAnsi="仿宋_GB2312" w:eastAsia="仿宋_GB2312" w:cs="仿宋_GB2312"/>
          <w:color w:val="000000"/>
          <w:sz w:val="24"/>
          <w:lang w:val="en-US" w:eastAsia="zh-CN"/>
        </w:rPr>
        <w:t>元用于勒乌镇新开村日间照料中心工程款。</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相关措施建议</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lang w:val="en-US" w:eastAsia="zh-CN"/>
        </w:rPr>
      </w:pPr>
      <w:r>
        <w:rPr>
          <w:rFonts w:hint="eastAsia" w:ascii="宋体" w:hAnsi="宋体"/>
          <w:b/>
          <w:bCs/>
          <w:color w:val="auto"/>
          <w:sz w:val="24"/>
          <w:szCs w:val="24"/>
          <w:lang w:val="en-US" w:eastAsia="zh-CN"/>
        </w:rPr>
        <w:t xml:space="preserve">   </w:t>
      </w:r>
      <w:r>
        <w:rPr>
          <w:rFonts w:hint="eastAsia" w:ascii="宋体" w:hAnsi="宋体"/>
          <w:b w:val="0"/>
          <w:bCs w:val="0"/>
          <w:color w:val="auto"/>
          <w:sz w:val="24"/>
          <w:szCs w:val="24"/>
          <w:lang w:val="en-US" w:eastAsia="zh-CN"/>
        </w:rPr>
        <w:t xml:space="preserve"> 加强对原始单据审核，严格按照资金用途使用，早日实现社会效益。</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r>
        <w:rPr>
          <w:rFonts w:hint="eastAsia" w:ascii="宋体" w:hAnsi="宋体"/>
          <w:b/>
          <w:bCs/>
          <w:color w:val="auto"/>
          <w:sz w:val="24"/>
          <w:szCs w:val="24"/>
          <w:lang w:val="en-US" w:eastAsia="zh-CN"/>
        </w:rPr>
        <w:t>本报告使用范围</w:t>
      </w:r>
      <w:r>
        <w:rPr>
          <w:rFonts w:hint="eastAsia" w:ascii="宋体" w:hAnsi="宋体"/>
          <w:b/>
          <w:bCs/>
          <w:color w:val="auto"/>
          <w:sz w:val="24"/>
          <w:szCs w:val="24"/>
          <w:lang w:val="en-US" w:eastAsia="zh-CN"/>
        </w:rPr>
        <w:br w:type="textWrapping"/>
      </w:r>
      <w:r>
        <w:rPr>
          <w:rFonts w:hint="eastAsia" w:ascii="宋体" w:hAnsi="宋体"/>
          <w:b/>
          <w:bCs/>
          <w:color w:val="auto"/>
          <w:sz w:val="24"/>
          <w:szCs w:val="24"/>
          <w:lang w:val="en-US" w:eastAsia="zh-CN"/>
        </w:rPr>
        <w:t xml:space="preserve">    </w:t>
      </w:r>
      <w:r>
        <w:rPr>
          <w:rFonts w:hint="eastAsia" w:ascii="宋体" w:hAnsi="宋体"/>
          <w:color w:val="auto"/>
          <w:sz w:val="24"/>
          <w:szCs w:val="24"/>
          <w:lang w:val="en-US" w:eastAsia="zh-CN"/>
        </w:rPr>
        <w:t>本报告是在金川县民政局所提供的现有资料基础上检查做出的结论，仅供金川县财政局区了解金川县民政局2017年社会养老服务体系资金绩效评价情况时使用，不作为其他用途，如因使用不当所造成的后果，与本所和签字注册会计师无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附件一：</w:t>
      </w:r>
      <w:r>
        <w:rPr>
          <w:rFonts w:hint="eastAsia" w:ascii="宋体" w:hAnsi="宋体"/>
          <w:color w:val="auto"/>
          <w:sz w:val="24"/>
          <w:szCs w:val="24"/>
        </w:rPr>
        <w:t>2018年阿坝州项目支出绩效评价指标体系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spacing w:line="360" w:lineRule="auto"/>
        <w:rPr>
          <w:rFonts w:hint="eastAsia" w:ascii="仿宋" w:hAnsi="仿宋" w:eastAsia="仿宋" w:cs="仿宋"/>
          <w:color w:val="auto"/>
          <w:sz w:val="24"/>
        </w:rPr>
      </w:pPr>
      <w:r>
        <w:rPr>
          <w:rFonts w:hint="eastAsia" w:ascii="仿宋" w:hAnsi="仿宋" w:eastAsia="仿宋" w:cs="仿宋"/>
          <w:bCs/>
          <w:color w:val="auto"/>
          <w:sz w:val="24"/>
        </w:rPr>
        <w:t xml:space="preserve"> </w:t>
      </w:r>
      <w:r>
        <w:rPr>
          <w:rFonts w:hint="eastAsia" w:ascii="仿宋" w:hAnsi="仿宋" w:eastAsia="仿宋" w:cs="仿宋"/>
          <w:b w:val="0"/>
          <w:bCs/>
          <w:color w:val="auto"/>
          <w:sz w:val="24"/>
        </w:rPr>
        <w:t>中兴华会计师事务所</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中国注册会计师：</w:t>
      </w:r>
    </w:p>
    <w:p>
      <w:pPr>
        <w:spacing w:line="360" w:lineRule="auto"/>
        <w:rPr>
          <w:rFonts w:hint="eastAsia" w:ascii="仿宋" w:hAnsi="仿宋" w:eastAsia="仿宋" w:cs="仿宋"/>
          <w:color w:val="auto"/>
          <w:sz w:val="24"/>
        </w:rPr>
      </w:pPr>
    </w:p>
    <w:p>
      <w:pPr>
        <w:spacing w:line="360" w:lineRule="auto"/>
        <w:rPr>
          <w:rFonts w:hint="eastAsia" w:ascii="仿宋" w:hAnsi="仿宋" w:eastAsia="仿宋" w:cs="仿宋"/>
          <w:color w:val="auto"/>
          <w:sz w:val="24"/>
        </w:rPr>
      </w:pPr>
      <w:r>
        <w:rPr>
          <w:rFonts w:hint="eastAsia" w:ascii="仿宋" w:hAnsi="仿宋" w:eastAsia="仿宋" w:cs="仿宋"/>
          <w:color w:val="auto"/>
          <w:sz w:val="24"/>
        </w:rPr>
        <w:t xml:space="preserve">   </w:t>
      </w:r>
      <w:r>
        <w:rPr>
          <w:rFonts w:hint="eastAsia" w:ascii="仿宋" w:hAnsi="仿宋" w:eastAsia="仿宋" w:cs="仿宋"/>
          <w:b w:val="0"/>
          <w:bCs/>
          <w:color w:val="auto"/>
          <w:sz w:val="24"/>
        </w:rPr>
        <w:t>（特殊普通合伙</w:t>
      </w:r>
      <w:r>
        <w:rPr>
          <w:rFonts w:hint="eastAsia" w:ascii="仿宋" w:hAnsi="仿宋" w:eastAsia="仿宋" w:cs="仿宋"/>
          <w:b w:val="0"/>
          <w:bCs/>
          <w:color w:val="auto"/>
          <w:sz w:val="24"/>
          <w:lang w:eastAsia="zh-CN"/>
        </w:rPr>
        <w:t>）</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中国注册会计师：</w:t>
      </w:r>
    </w:p>
    <w:p>
      <w:pPr>
        <w:spacing w:line="360" w:lineRule="auto"/>
        <w:rPr>
          <w:rFonts w:hint="eastAsia" w:ascii="仿宋" w:hAnsi="仿宋" w:eastAsia="仿宋" w:cs="仿宋"/>
          <w:color w:val="auto"/>
          <w:sz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rPr>
        <w:t xml:space="preserve">中国·四川·成都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报告日期：二0一</w:t>
      </w:r>
      <w:r>
        <w:rPr>
          <w:rFonts w:hint="eastAsia" w:ascii="仿宋" w:hAnsi="仿宋" w:eastAsia="仿宋" w:cs="仿宋"/>
          <w:color w:val="auto"/>
          <w:sz w:val="24"/>
          <w:lang w:eastAsia="zh-CN"/>
        </w:rPr>
        <w:t>八</w:t>
      </w:r>
      <w:r>
        <w:rPr>
          <w:rFonts w:hint="eastAsia" w:ascii="仿宋" w:hAnsi="仿宋" w:eastAsia="仿宋" w:cs="仿宋"/>
          <w:color w:val="auto"/>
          <w:sz w:val="24"/>
        </w:rPr>
        <w:t>年</w:t>
      </w:r>
      <w:r>
        <w:rPr>
          <w:rFonts w:hint="eastAsia" w:ascii="仿宋" w:hAnsi="仿宋" w:eastAsia="仿宋" w:cs="仿宋"/>
          <w:color w:val="auto"/>
          <w:sz w:val="24"/>
          <w:lang w:val="en-US" w:eastAsia="zh-CN"/>
        </w:rPr>
        <w:t>九</w:t>
      </w:r>
      <w:r>
        <w:rPr>
          <w:rFonts w:hint="eastAsia" w:ascii="仿宋" w:hAnsi="仿宋" w:eastAsia="仿宋" w:cs="仿宋"/>
          <w:color w:val="auto"/>
          <w:sz w:val="24"/>
        </w:rPr>
        <w:t>月</w:t>
      </w:r>
      <w:r>
        <w:rPr>
          <w:rFonts w:hint="eastAsia" w:ascii="仿宋" w:hAnsi="仿宋" w:eastAsia="仿宋" w:cs="仿宋"/>
          <w:color w:val="auto"/>
          <w:sz w:val="24"/>
          <w:lang w:val="en-US" w:eastAsia="zh-CN"/>
        </w:rPr>
        <w:t>十五日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4 页</w:t>
                          </w:r>
                        </w:p>
                        <w:p>
                          <w:pPr>
                            <w:pStyle w:val="3"/>
                            <w:rPr>
                              <w:rFonts w:hint="eastAsia" w:eastAsia="仿宋_GB2312"/>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4 页</w:t>
                    </w:r>
                  </w:p>
                  <w:p>
                    <w:pPr>
                      <w:pStyle w:val="3"/>
                      <w:rPr>
                        <w:rFonts w:hint="eastAsia" w:eastAsia="仿宋_GB2312"/>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1FB74"/>
    <w:multiLevelType w:val="singleLevel"/>
    <w:tmpl w:val="1F11FB74"/>
    <w:lvl w:ilvl="0" w:tentative="0">
      <w:start w:val="1"/>
      <w:numFmt w:val="chineseCounting"/>
      <w:suff w:val="nothing"/>
      <w:lvlText w:val="（%1）"/>
      <w:lvlJc w:val="left"/>
      <w:rPr>
        <w:rFonts w:hint="eastAsia"/>
      </w:rPr>
    </w:lvl>
  </w:abstractNum>
  <w:abstractNum w:abstractNumId="1">
    <w:nsid w:val="249A7925"/>
    <w:multiLevelType w:val="singleLevel"/>
    <w:tmpl w:val="249A7925"/>
    <w:lvl w:ilvl="0" w:tentative="0">
      <w:start w:val="1"/>
      <w:numFmt w:val="decimal"/>
      <w:suff w:val="nothing"/>
      <w:lvlText w:val="%1、"/>
      <w:lvlJc w:val="left"/>
    </w:lvl>
  </w:abstractNum>
  <w:abstractNum w:abstractNumId="2">
    <w:nsid w:val="4115B164"/>
    <w:multiLevelType w:val="singleLevel"/>
    <w:tmpl w:val="4115B164"/>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37A7D"/>
    <w:rsid w:val="031A3999"/>
    <w:rsid w:val="03B962DE"/>
    <w:rsid w:val="04487858"/>
    <w:rsid w:val="052B36C2"/>
    <w:rsid w:val="06D10598"/>
    <w:rsid w:val="082F7549"/>
    <w:rsid w:val="094272B4"/>
    <w:rsid w:val="09633B32"/>
    <w:rsid w:val="0AB50483"/>
    <w:rsid w:val="0B5F77F5"/>
    <w:rsid w:val="0BEA2B92"/>
    <w:rsid w:val="0CB253DE"/>
    <w:rsid w:val="0CC56D5E"/>
    <w:rsid w:val="0D0628B6"/>
    <w:rsid w:val="0D336BC2"/>
    <w:rsid w:val="0D58510D"/>
    <w:rsid w:val="0D9A2FD3"/>
    <w:rsid w:val="0EB56BD9"/>
    <w:rsid w:val="0FBC4412"/>
    <w:rsid w:val="10F710BF"/>
    <w:rsid w:val="11944CAD"/>
    <w:rsid w:val="127F0594"/>
    <w:rsid w:val="128A0EBC"/>
    <w:rsid w:val="12F73558"/>
    <w:rsid w:val="159D1AF1"/>
    <w:rsid w:val="18D325DB"/>
    <w:rsid w:val="1A030A4E"/>
    <w:rsid w:val="1A82591E"/>
    <w:rsid w:val="1C2E58C4"/>
    <w:rsid w:val="1C6322F0"/>
    <w:rsid w:val="1E074D0D"/>
    <w:rsid w:val="1F0A50CB"/>
    <w:rsid w:val="1F88251E"/>
    <w:rsid w:val="20B72A2D"/>
    <w:rsid w:val="231F61E2"/>
    <w:rsid w:val="23E942AD"/>
    <w:rsid w:val="263D173A"/>
    <w:rsid w:val="283A4A5F"/>
    <w:rsid w:val="288708B1"/>
    <w:rsid w:val="2898521B"/>
    <w:rsid w:val="28EC77C6"/>
    <w:rsid w:val="2A2C6006"/>
    <w:rsid w:val="2A8D509E"/>
    <w:rsid w:val="2ACA7BCD"/>
    <w:rsid w:val="2BA82907"/>
    <w:rsid w:val="2BFB1D8F"/>
    <w:rsid w:val="2F8809D3"/>
    <w:rsid w:val="2FB150FE"/>
    <w:rsid w:val="33F969DA"/>
    <w:rsid w:val="34EA4C26"/>
    <w:rsid w:val="36293B42"/>
    <w:rsid w:val="366426A0"/>
    <w:rsid w:val="36F81653"/>
    <w:rsid w:val="38360154"/>
    <w:rsid w:val="38C448D2"/>
    <w:rsid w:val="39E93C9F"/>
    <w:rsid w:val="3AEA2EEF"/>
    <w:rsid w:val="3B7D7B35"/>
    <w:rsid w:val="3B7F4CBC"/>
    <w:rsid w:val="3C2A22D4"/>
    <w:rsid w:val="3DB108B6"/>
    <w:rsid w:val="3F6939C3"/>
    <w:rsid w:val="410601B3"/>
    <w:rsid w:val="41E12E92"/>
    <w:rsid w:val="42D577B0"/>
    <w:rsid w:val="4A105772"/>
    <w:rsid w:val="4C523BC0"/>
    <w:rsid w:val="4CCB307D"/>
    <w:rsid w:val="4DB95AF1"/>
    <w:rsid w:val="51D072D7"/>
    <w:rsid w:val="524823EA"/>
    <w:rsid w:val="52B913AA"/>
    <w:rsid w:val="532323C6"/>
    <w:rsid w:val="540B3EAB"/>
    <w:rsid w:val="550F545D"/>
    <w:rsid w:val="56FE3473"/>
    <w:rsid w:val="58997233"/>
    <w:rsid w:val="58CA2B2F"/>
    <w:rsid w:val="59495D47"/>
    <w:rsid w:val="5AF1254F"/>
    <w:rsid w:val="5D063025"/>
    <w:rsid w:val="5D7D6A2F"/>
    <w:rsid w:val="5D9E2371"/>
    <w:rsid w:val="5E9B1791"/>
    <w:rsid w:val="5EE026F7"/>
    <w:rsid w:val="606B736F"/>
    <w:rsid w:val="6150132B"/>
    <w:rsid w:val="6220518E"/>
    <w:rsid w:val="62C56CE3"/>
    <w:rsid w:val="65341C7A"/>
    <w:rsid w:val="68DD3313"/>
    <w:rsid w:val="694E0062"/>
    <w:rsid w:val="69971BFE"/>
    <w:rsid w:val="6AB26AF5"/>
    <w:rsid w:val="6B390EE5"/>
    <w:rsid w:val="6BC363D3"/>
    <w:rsid w:val="6C12360D"/>
    <w:rsid w:val="6DF75DF9"/>
    <w:rsid w:val="6E1225B9"/>
    <w:rsid w:val="6E621AAC"/>
    <w:rsid w:val="6FAF2D2E"/>
    <w:rsid w:val="6FC12491"/>
    <w:rsid w:val="70CD3BA7"/>
    <w:rsid w:val="71A54E2E"/>
    <w:rsid w:val="72CD5043"/>
    <w:rsid w:val="738F4450"/>
    <w:rsid w:val="74031A23"/>
    <w:rsid w:val="74CF000B"/>
    <w:rsid w:val="775326D0"/>
    <w:rsid w:val="790528BB"/>
    <w:rsid w:val="79C4282A"/>
    <w:rsid w:val="7B1677D9"/>
    <w:rsid w:val="7B5452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FollowedHyperlink"/>
    <w:basedOn w:val="6"/>
    <w:qFormat/>
    <w:uiPriority w:val="0"/>
    <w:rPr>
      <w:color w:val="323232"/>
      <w:u w:val="none"/>
    </w:rPr>
  </w:style>
  <w:style w:type="character" w:styleId="8">
    <w:name w:val="Hyperlink"/>
    <w:basedOn w:val="6"/>
    <w:qFormat/>
    <w:uiPriority w:val="0"/>
    <w:rPr>
      <w:color w:val="323232"/>
      <w:u w:val="none"/>
    </w:rPr>
  </w:style>
  <w:style w:type="character" w:customStyle="1" w:styleId="10">
    <w:name w:val="bsharetext"/>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TotalTime>
  <ScaleCrop>false</ScaleCrop>
  <LinksUpToDate>false</LinksUpToDate>
  <CharactersWithSpaces>0</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孙东华</dc:creator>
  <cp:lastModifiedBy>po</cp:lastModifiedBy>
  <dcterms:modified xsi:type="dcterms:W3CDTF">2018-10-23T08:18:27Z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